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45B3" w14:textId="77777777" w:rsidR="009344EA" w:rsidRDefault="009344E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0A092" w14:textId="77777777" w:rsidR="009344EA" w:rsidRDefault="009344E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3CD1E4" w14:textId="77777777" w:rsidR="009344EA" w:rsidRDefault="00000000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Ochrana životního prostředí je pro naši společnost prioritou</w:t>
      </w:r>
    </w:p>
    <w:p w14:paraId="664CCAED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1E1A8" w14:textId="18D1CCCA" w:rsidR="009344EA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Elektrospotřebiče jsou běžnou součástí našeho každodenního života a jen těžko si jej bez nich dokážeme představit. Elektroodpad je tak v současné době jedním z nejrychleji rostoucích druhů odpadu. Pro zajištění sběru a recyklace již vysloužilých elektrozařízení si naše </w:t>
      </w:r>
      <w:bookmarkStart w:id="0" w:name="_Hlk96506340"/>
      <w:r w:rsidR="00A40B68">
        <w:rPr>
          <w:rFonts w:asciiTheme="minorHAnsi" w:hAnsiTheme="minorHAnsi" w:cstheme="minorHAnsi"/>
          <w:b/>
          <w:bCs/>
          <w:sz w:val="22"/>
          <w:szCs w:val="22"/>
        </w:rPr>
        <w:t>obec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 Elektroodpad obsahuje řadu zdraví škodlivých materiálů a díky zajištění ekologické recyklace vysloužilých elektrozařízení přispíváme k ochraně životního prostředí. Recyklace navíc umožňuje opětovné materiálové využití a patří mezi základní principy cirkulární ekonomky. Míra opětovného materiálového využití je velmi vysoká a dle jednotlivých typů výrobků dosahuje až 95 %.</w:t>
      </w:r>
    </w:p>
    <w:p w14:paraId="680AB1A9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4E931B" w14:textId="72665FB6" w:rsidR="009344EA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Jakým rozsahem naše </w:t>
      </w:r>
      <w:r w:rsidR="00A40B68">
        <w:rPr>
          <w:rFonts w:asciiTheme="minorHAnsi" w:hAnsiTheme="minorHAnsi" w:cstheme="minorHAnsi"/>
          <w:b/>
          <w:bCs/>
          <w:sz w:val="22"/>
          <w:szCs w:val="22"/>
        </w:rPr>
        <w:t>obec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konkrétně přispěla k úsporám na životním prostředí, se dozvídáme z environmentálního vyúčtování zpracovaného společností ASEKOL. Díky zodpovědné recyklaci vznikají úspory vyčíslené např. na spotřebu elektrické energie, primární suroviny, vodu, okyselování prostředí a produkci skleníkových plynů.</w:t>
      </w:r>
    </w:p>
    <w:p w14:paraId="4A6E7688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625D6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A641D4" w14:textId="6ADF0308" w:rsidR="009344EA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Certifikát environmentálního vyúčtování vyčísluje přínos naší </w:t>
      </w:r>
      <w:r w:rsidR="00A40B68">
        <w:rPr>
          <w:rFonts w:asciiTheme="minorHAnsi" w:hAnsiTheme="minorHAnsi" w:cstheme="minorHAnsi"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t xml:space="preserve"> k ochraně přírody v roce 2024. Vyplývá z něj, že díky množství námi odevzdaných elektrozařízení jsme uspořili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 xml:space="preserve">12,73 </w:t>
      </w:r>
      <w:proofErr w:type="spellStart"/>
      <w:r>
        <w:rPr>
          <w:rFonts w:asciiTheme="minorHAnsi" w:hAnsiTheme="minorHAnsi" w:cstheme="minorHAnsi"/>
          <w:sz w:val="22"/>
          <w:szCs w:val="22"/>
        </w:rPr>
        <w:t>MWh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 xml:space="preserve">1 196,86 </w:t>
      </w:r>
      <w:r>
        <w:rPr>
          <w:rFonts w:asciiTheme="minorHAnsi" w:hAnsiTheme="minorHAnsi" w:cstheme="minorHAnsi"/>
          <w:sz w:val="22"/>
          <w:szCs w:val="22"/>
        </w:rPr>
        <w:t xml:space="preserve">litrů ropy,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 xml:space="preserve">71,48 </w:t>
      </w:r>
      <w:r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vody a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 xml:space="preserve">0,70 </w:t>
      </w:r>
      <w:r>
        <w:rPr>
          <w:rFonts w:asciiTheme="minorHAnsi" w:hAnsiTheme="minorHAnsi" w:cstheme="minorHAnsi"/>
          <w:sz w:val="22"/>
          <w:szCs w:val="22"/>
        </w:rPr>
        <w:t>tun primárních surovin. Navíc jsme snížili emise skleníkových plynů CO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ekv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o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>0,91</w:t>
      </w:r>
      <w:r>
        <w:rPr>
          <w:rFonts w:asciiTheme="minorHAnsi" w:hAnsiTheme="minorHAnsi" w:cstheme="minorHAnsi"/>
          <w:sz w:val="22"/>
          <w:szCs w:val="22"/>
        </w:rPr>
        <w:t xml:space="preserve"> tun, a produkci SO2 </w:t>
      </w:r>
      <w:proofErr w:type="spellStart"/>
      <w:r>
        <w:rPr>
          <w:rFonts w:asciiTheme="minorHAnsi" w:hAnsiTheme="minorHAnsi" w:cstheme="minorHAnsi"/>
          <w:sz w:val="22"/>
          <w:szCs w:val="22"/>
        </w:rPr>
        <w:t>ekv</w:t>
      </w:r>
      <w:proofErr w:type="spellEnd"/>
      <w:r>
        <w:rPr>
          <w:rFonts w:asciiTheme="minorHAnsi" w:hAnsiTheme="minorHAnsi" w:cstheme="minorHAnsi"/>
          <w:sz w:val="22"/>
          <w:szCs w:val="22"/>
        </w:rPr>
        <w:t>. (který zapříčiňuje okyselování prostředí)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A40B68">
        <w:rPr>
          <w:rFonts w:asciiTheme="minorHAnsi" w:hAnsiTheme="minorHAnsi" w:cstheme="minorHAnsi"/>
          <w:i/>
          <w:iCs/>
          <w:sz w:val="22"/>
          <w:szCs w:val="22"/>
        </w:rPr>
        <w:t>45,46</w:t>
      </w:r>
      <w:r>
        <w:rPr>
          <w:rFonts w:asciiTheme="minorHAnsi" w:hAnsiTheme="minorHAnsi" w:cstheme="minorHAnsi"/>
          <w:sz w:val="22"/>
          <w:szCs w:val="22"/>
        </w:rPr>
        <w:t xml:space="preserve"> kg.</w:t>
      </w:r>
    </w:p>
    <w:p w14:paraId="7B385FF8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693F9" w14:textId="77777777" w:rsidR="009344EA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Každý kus vytříděného elektra se počítá, což dokazuje příklad 100 vytříděných notebooků, které uspoří 10 </w:t>
      </w:r>
      <w:proofErr w:type="spellStart"/>
      <w:r>
        <w:rPr>
          <w:rFonts w:asciiTheme="minorHAnsi" w:hAnsiTheme="minorHAnsi" w:cstheme="minorHAnsi"/>
          <w:sz w:val="22"/>
          <w:szCs w:val="22"/>
        </w:rPr>
        <w:t>MWh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elektřiny. Takové množství odpovídá 3leté spotřebě elektřiny rodiny žijící ve standardním bytu. Za 100 kg vytříděných elektrospotřebičů se ušetří takové množství ropy, které by stačilo na výrobu benzínu pro cestu z Prahy do Paříže. Děkujeme všem, kteří pečlivě třídí odpad a přispívají tak k ochraně životního prostředí a trvalé udržitelnosti.</w:t>
      </w:r>
    </w:p>
    <w:p w14:paraId="29277A12" w14:textId="77777777" w:rsidR="009344EA" w:rsidRDefault="009344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2CA5F" w14:textId="77777777" w:rsidR="009344EA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Environmentální vyúčtování je vypočítáváno pomocí studie životního cyklu výrobku (tzv. LCA –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Life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Cycle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), která vypovídá o dopadech výroby a recyklace jednotlivých elektrozařízení na životní prostředí. Studie zohledňuje všech 6 skupin elektrospotřebičů, jejichž zpětný odběr kolektivní systém ASEKOL zajišťuje.</w:t>
      </w:r>
    </w:p>
    <w:p w14:paraId="369A8371" w14:textId="77777777" w:rsidR="009344EA" w:rsidRDefault="009344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344E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565C" w14:textId="77777777" w:rsidR="008631E3" w:rsidRDefault="008631E3">
      <w:r>
        <w:separator/>
      </w:r>
    </w:p>
  </w:endnote>
  <w:endnote w:type="continuationSeparator" w:id="0">
    <w:p w14:paraId="6EAC092E" w14:textId="77777777" w:rsidR="008631E3" w:rsidRDefault="0086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8A85" w14:textId="77777777" w:rsidR="008631E3" w:rsidRDefault="008631E3">
      <w:r>
        <w:separator/>
      </w:r>
    </w:p>
  </w:footnote>
  <w:footnote w:type="continuationSeparator" w:id="0">
    <w:p w14:paraId="6C3F348B" w14:textId="77777777" w:rsidR="008631E3" w:rsidRDefault="0086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A"/>
    <w:rsid w:val="00133A02"/>
    <w:rsid w:val="008631E3"/>
    <w:rsid w:val="009344EA"/>
    <w:rsid w:val="00A40B68"/>
    <w:rsid w:val="00D556F8"/>
    <w:rsid w:val="00D73635"/>
    <w:rsid w:val="00E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26C8"/>
  <w15:docId w15:val="{69E510F7-0222-439B-8E52-8B6812F2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widowControl/>
      <w:suppressAutoHyphens w:val="0"/>
      <w:jc w:val="center"/>
    </w:pPr>
    <w:rPr>
      <w:rFonts w:ascii="Arial" w:eastAsia="Times New Roman" w:hAnsi="Arial" w:cs="Arial"/>
      <w:b/>
      <w:bCs/>
      <w:sz w:val="32"/>
      <w:lang w:eastAsia="cs-CZ" w:bidi="ar-SA"/>
    </w:rPr>
  </w:style>
  <w:style w:type="paragraph" w:styleId="Zkladntext">
    <w:name w:val="Body Text"/>
    <w:basedOn w:val="Normln"/>
    <w:link w:val="ZkladntextChar"/>
    <w:pPr>
      <w:spacing w:after="120"/>
    </w:pPr>
    <w:rPr>
      <w:kern w:val="1"/>
    </w:rPr>
  </w:style>
  <w:style w:type="paragraph" w:styleId="Textbubliny">
    <w:name w:val="Balloon Text"/>
    <w:basedOn w:val="Normln"/>
    <w:link w:val="TextbublinyChar"/>
    <w:semiHidden/>
    <w:rPr>
      <w:rFonts w:ascii="Segoe UI" w:hAnsi="Segoe UI"/>
      <w:sz w:val="18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poznpodarou">
    <w:name w:val="footnote text"/>
    <w:link w:val="TextpoznpodarouChar"/>
    <w:semiHidden/>
    <w:pPr>
      <w:spacing w:after="0" w:line="240" w:lineRule="auto"/>
    </w:pPr>
    <w:rPr>
      <w:sz w:val="20"/>
      <w:szCs w:val="20"/>
    </w:rPr>
  </w:style>
  <w:style w:type="paragraph" w:styleId="Textvysvtlivek">
    <w:name w:val="endnote text"/>
    <w:link w:val="TextvysvtlivekChar"/>
    <w:semiHidden/>
    <w:pPr>
      <w:spacing w:after="0" w:line="240" w:lineRule="auto"/>
    </w:pPr>
    <w:rPr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E9B18D8EC364890B7E5ACA3C80234" ma:contentTypeVersion="18" ma:contentTypeDescription="Create a new document." ma:contentTypeScope="" ma:versionID="7e27dc8b2e1770a7e4b1b81f3a811aab">
  <xsd:schema xmlns:xsd="http://www.w3.org/2001/XMLSchema" xmlns:xs="http://www.w3.org/2001/XMLSchema" xmlns:p="http://schemas.microsoft.com/office/2006/metadata/properties" xmlns:ns2="543323b7-d62f-4d47-ba40-3ddd29c4b25d" xmlns:ns3="3236b86f-095e-4fa6-87b2-8a7269dddb00" targetNamespace="http://schemas.microsoft.com/office/2006/metadata/properties" ma:root="true" ma:fieldsID="c408d1d1de4c8ad2b1dd13fb0887c741" ns2:_="" ns3:_="">
    <xsd:import namespace="543323b7-d62f-4d47-ba40-3ddd29c4b25d"/>
    <xsd:import namespace="3236b86f-095e-4fa6-87b2-8a7269dddb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23b7-d62f-4d47-ba40-3ddd29c4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543ed4-0686-4c92-85fc-27035fec10a4}" ma:internalName="TaxCatchAll" ma:showField="CatchAllData" ma:web="543323b7-d62f-4d47-ba40-3ddd29c4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b86f-095e-4fa6-87b2-8a7269dd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458f4-b9b0-4ffa-b947-e9213be38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323b7-d62f-4d47-ba40-3ddd29c4b25d" xsi:nil="true"/>
    <lcf76f155ced4ddcb4097134ff3c332f xmlns="3236b86f-095e-4fa6-87b2-8a7269dddb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AA3D6-65D2-49D2-A15D-AE897294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323b7-d62f-4d47-ba40-3ddd29c4b25d"/>
    <ds:schemaRef ds:uri="3236b86f-095e-4fa6-87b2-8a7269ddd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DB827-DE8E-45E3-AC1E-F54031C7B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AF699-E940-408D-BC2F-1647AB6DE6C0}">
  <ds:schemaRefs>
    <ds:schemaRef ds:uri="http://schemas.microsoft.com/office/2006/metadata/properties"/>
    <ds:schemaRef ds:uri="http://schemas.microsoft.com/office/infopath/2007/PartnerControls"/>
    <ds:schemaRef ds:uri="543323b7-d62f-4d47-ba40-3ddd29c4b25d"/>
    <ds:schemaRef ds:uri="3236b86f-095e-4fa6-87b2-8a7269dddb00"/>
  </ds:schemaRefs>
</ds:datastoreItem>
</file>

<file path=customXml/itemProps4.xml><?xml version="1.0" encoding="utf-8"?>
<ds:datastoreItem xmlns:ds="http://schemas.openxmlformats.org/officeDocument/2006/customXml" ds:itemID="{5826D8B8-29F7-4F44-8D89-86806169D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Němcová</dc:creator>
  <cp:lastModifiedBy>referent</cp:lastModifiedBy>
  <cp:revision>3</cp:revision>
  <dcterms:created xsi:type="dcterms:W3CDTF">2025-03-19T10:01:00Z</dcterms:created>
  <dcterms:modified xsi:type="dcterms:W3CDTF">2025-03-19T10:11:00Z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0x010100BF7E9B18D8EC364890B7E5ACA3C80234</vt:lpwstr>
  </property>
</Properties>
</file>